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header1.xml" ContentType="application/vnd.openxmlformats-officedocument.wordprocessingml.header+xml"/>
  <Override PartName="/word/_rels/document.xml.rels" ContentType="application/vnd.openxmlformats-package.relationships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"/>
        <w:spacing w:before="240" w:after="60"/>
        <w:rPr>
          <w:rStyle w:val="Emphasis"/>
          <w:lang w:val="en-US" w:eastAsia="en-US"/>
        </w:rPr>
      </w:pPr>
      <w:r>
        <w:rPr>
          <w:lang w:val="en-US" w:eastAsia="en-US"/>
        </w:rPr>
        <w:drawing>
          <wp:anchor behindDoc="0" distT="0" distB="0" distL="114935" distR="114935" simplePos="0" locked="0" layoutInCell="0" allowOverlap="1" relativeHeight="12">
            <wp:simplePos x="0" y="0"/>
            <wp:positionH relativeFrom="column">
              <wp:posOffset>2346325</wp:posOffset>
            </wp:positionH>
            <wp:positionV relativeFrom="paragraph">
              <wp:posOffset>-68580</wp:posOffset>
            </wp:positionV>
            <wp:extent cx="1014730" cy="1044575"/>
            <wp:effectExtent l="0" t="0" r="0" b="0"/>
            <wp:wrapSquare wrapText="bothSides"/>
            <wp:docPr id="1" name="Картина 1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Картина 1" descr="" title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35" t="-34" r="-35" b="-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4730" cy="1044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Heading"/>
        <w:rPr>
          <w:rStyle w:val="Emphasis"/>
        </w:rPr>
      </w:pPr>
      <w:r>
        <w:rPr/>
      </w:r>
    </w:p>
    <w:p>
      <w:pPr>
        <w:pStyle w:val="Heading"/>
        <w:rPr>
          <w:rStyle w:val="Emphasis"/>
        </w:rPr>
      </w:pPr>
      <w:r>
        <w:rPr/>
      </w:r>
    </w:p>
    <w:p>
      <w:pPr>
        <w:pStyle w:val="Heading"/>
        <w:rPr/>
      </w:pPr>
      <w:r>
        <w:rPr>
          <w:rStyle w:val="Emphasis"/>
          <w:sz w:val="28"/>
          <w:szCs w:val="28"/>
        </w:rPr>
        <w:t>ШУМЕНСКИ  УНИВЕРСИТЕТ „ЕПИСКОП КОНСТАНТИН  ПРЕСЛАВСКИ”</w:t>
      </w:r>
      <w:r>
        <w:rPr>
          <w:i/>
          <w:iCs/>
          <w:sz w:val="28"/>
          <w:szCs w:val="28"/>
        </w:rPr>
        <w:br/>
      </w:r>
      <w:r>
        <w:rPr>
          <w:rStyle w:val="Emphasis"/>
          <w:sz w:val="28"/>
          <w:szCs w:val="28"/>
        </w:rPr>
        <w:t>ПЕДАГОГИЧЕСКИ ФАКУЛТЕТ</w:t>
      </w:r>
    </w:p>
    <w:p>
      <w:pPr>
        <w:pStyle w:val="Heading"/>
        <w:jc w:val="start"/>
        <w:rPr>
          <w:rStyle w:val="Emphasis"/>
          <w:sz w:val="28"/>
          <w:szCs w:val="28"/>
        </w:rPr>
      </w:pPr>
      <w:r>
        <w:rPr/>
      </w:r>
    </w:p>
    <w:p>
      <w:pPr>
        <w:pStyle w:val="Heading"/>
        <w:rPr>
          <w:rStyle w:val="Emphasis"/>
          <w:rFonts w:ascii="Times New Roman" w:hAnsi="Times New Roman" w:cs="Times New Roman"/>
          <w:i w:val="false"/>
          <w:i w:val="false"/>
          <w:sz w:val="96"/>
          <w:szCs w:val="96"/>
        </w:rPr>
      </w:pPr>
      <w:r>
        <w:rPr>
          <w:rFonts w:cs="Times New Roman" w:ascii="Times New Roman" w:hAnsi="Times New Roman"/>
          <w:i/>
          <w:iCs/>
          <w:sz w:val="96"/>
          <w:szCs w:val="96"/>
        </w:rPr>
        <w:t>РЕФЕРАТ</w:t>
      </w:r>
    </w:p>
    <w:p>
      <w:pPr>
        <w:pStyle w:val="Heading"/>
        <w:tabs>
          <w:tab w:val="clear" w:pos="708"/>
          <w:tab w:val="left" w:pos="8051" w:leader="none"/>
        </w:tabs>
        <w:jc w:val="start"/>
        <w:rPr>
          <w:i/>
          <w:i/>
          <w:iCs/>
        </w:rPr>
      </w:pPr>
      <w:r>
        <w:rPr>
          <w:rStyle w:val="Emphasis"/>
        </w:rPr>
        <w:tab/>
      </w:r>
    </w:p>
    <w:p>
      <w:pPr>
        <w:pStyle w:val="Heading"/>
        <w:rPr/>
      </w:pPr>
      <w:r>
        <w:rPr>
          <w:rStyle w:val="Emphasis"/>
        </w:rPr>
        <w:t>ДИСЦИПЛИНА</w:t>
      </w:r>
    </w:p>
    <w:p>
      <w:pPr>
        <w:pStyle w:val="Heading"/>
        <w:rPr/>
      </w:pPr>
      <w:r>
        <w:rPr>
          <w:rStyle w:val="Emphasis"/>
          <w:rFonts w:eastAsia="Cambria"/>
        </w:rPr>
        <w:t xml:space="preserve"> </w:t>
      </w:r>
      <w:r>
        <w:rPr>
          <w:rStyle w:val="Emphasis"/>
        </w:rPr>
        <w:t>„</w:t>
      </w:r>
      <w:r>
        <w:rPr>
          <w:rStyle w:val="Emphasis"/>
        </w:rPr>
        <w:t>УПРАВЛЕНИЕ НА ОБРАЗОВАТЕЛНИТЕ ИНСТИТУЦИИ”</w:t>
      </w:r>
    </w:p>
    <w:p>
      <w:pPr>
        <w:pStyle w:val="Heading"/>
        <w:rPr/>
      </w:pPr>
      <w:r>
        <w:rPr>
          <w:rStyle w:val="Emphasis"/>
        </w:rPr>
        <w:t>ТЕМА:</w:t>
      </w:r>
    </w:p>
    <w:p>
      <w:pPr>
        <w:pStyle w:val="Heading"/>
        <w:rPr>
          <w:rStyle w:val="Emphasis"/>
          <w:lang w:val="en-US"/>
        </w:rPr>
      </w:pPr>
      <w:r>
        <w:rPr>
          <w:rStyle w:val="Emphasis"/>
        </w:rPr>
        <w:t>ОБРАЗОВАТЕЛЕН МЕНИДЖМЪНТ</w:t>
      </w:r>
    </w:p>
    <w:p>
      <w:pPr>
        <w:pStyle w:val="Normal"/>
        <w:rPr>
          <w:rStyle w:val="Emphasis"/>
          <w:sz w:val="28"/>
          <w:szCs w:val="28"/>
          <w:lang w:val="en-US"/>
        </w:rPr>
      </w:pPr>
      <w:r>
        <w:rPr/>
      </w:r>
    </w:p>
    <w:p>
      <w:pPr>
        <w:pStyle w:val="Style17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17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17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Style17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Style17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Style17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Style17"/>
        <w:rPr>
          <w:sz w:val="28"/>
          <w:szCs w:val="28"/>
        </w:rPr>
      </w:pPr>
      <w:r>
        <w:rPr>
          <w:b/>
          <w:sz w:val="28"/>
          <w:szCs w:val="28"/>
        </w:rPr>
        <w:t xml:space="preserve">Разработил </w:t>
      </w:r>
      <w:r>
        <w:rPr>
          <w:sz w:val="28"/>
          <w:szCs w:val="28"/>
          <w:lang w:val="en-US"/>
        </w:rPr>
        <w:t>:</w:t>
      </w:r>
      <w:r>
        <w:rPr>
          <w:sz w:val="28"/>
          <w:szCs w:val="28"/>
        </w:rPr>
        <w:t xml:space="preserve">                                                                  </w:t>
      </w:r>
      <w:r>
        <w:rPr>
          <w:b/>
          <w:sz w:val="28"/>
          <w:szCs w:val="28"/>
        </w:rPr>
        <w:t>Проверил:</w:t>
      </w:r>
    </w:p>
    <w:p>
      <w:pPr>
        <w:pStyle w:val="Style17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Радка Галинова Иванова  </w:t>
        <w:tab/>
        <w:t xml:space="preserve">      </w:t>
      </w:r>
      <w:r>
        <w:rPr>
          <w:sz w:val="28"/>
          <w:szCs w:val="28"/>
          <w:lang w:val="en-US"/>
        </w:rPr>
        <w:tab/>
        <w:tab/>
      </w:r>
      <w:r>
        <w:rPr>
          <w:sz w:val="28"/>
          <w:szCs w:val="28"/>
        </w:rPr>
        <w:t xml:space="preserve">            проф.д.ик.н. М. Бонева </w:t>
      </w:r>
    </w:p>
    <w:p>
      <w:pPr>
        <w:pStyle w:val="Style17"/>
        <w:rPr>
          <w:sz w:val="28"/>
          <w:szCs w:val="28"/>
        </w:rPr>
      </w:pPr>
      <w:r>
        <w:rPr>
          <w:sz w:val="28"/>
          <w:szCs w:val="28"/>
        </w:rPr>
        <w:t>Факултетен No: 2142754059</w:t>
      </w:r>
    </w:p>
    <w:p>
      <w:pPr>
        <w:pStyle w:val="Style17"/>
        <w:rPr>
          <w:sz w:val="28"/>
          <w:szCs w:val="28"/>
        </w:rPr>
      </w:pPr>
      <w:r>
        <w:rPr>
          <w:sz w:val="28"/>
          <w:szCs w:val="28"/>
        </w:rPr>
        <w:t xml:space="preserve">Специалност: </w:t>
      </w:r>
    </w:p>
    <w:p>
      <w:pPr>
        <w:pStyle w:val="Style17"/>
        <w:rPr>
          <w:sz w:val="28"/>
          <w:szCs w:val="28"/>
        </w:rPr>
      </w:pPr>
      <w:r>
        <w:rPr>
          <w:sz w:val="28"/>
          <w:szCs w:val="28"/>
        </w:rPr>
        <w:t xml:space="preserve">ИПО – </w:t>
      </w:r>
      <w:r>
        <w:rPr>
          <w:sz w:val="28"/>
          <w:szCs w:val="28"/>
          <w:lang w:val="en-US"/>
        </w:rPr>
        <w:t xml:space="preserve">II </w:t>
      </w:r>
      <w:r>
        <w:rPr>
          <w:sz w:val="28"/>
          <w:szCs w:val="28"/>
        </w:rPr>
        <w:t>Курс</w:t>
      </w:r>
    </w:p>
    <w:p>
      <w:pPr>
        <w:pStyle w:val="Style17"/>
        <w:rPr>
          <w:sz w:val="28"/>
          <w:szCs w:val="28"/>
        </w:rPr>
      </w:pPr>
      <w:r>
        <w:rPr>
          <w:sz w:val="28"/>
          <w:szCs w:val="28"/>
        </w:rPr>
        <w:t>Задочно обучение</w:t>
      </w:r>
    </w:p>
    <w:p>
      <w:pPr>
        <w:pStyle w:val="Normal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b/>
          <w:sz w:val="32"/>
          <w:szCs w:val="32"/>
        </w:rPr>
        <w:t>202</w:t>
      </w:r>
      <w:r>
        <w:rPr>
          <w:b/>
          <w:sz w:val="32"/>
          <w:szCs w:val="32"/>
          <w:lang w:val="en-US"/>
        </w:rPr>
        <w:t>2</w:t>
      </w:r>
      <w:r>
        <w:rPr>
          <w:b/>
          <w:sz w:val="32"/>
          <w:szCs w:val="32"/>
        </w:rPr>
        <w:t>г</w:t>
      </w:r>
      <w:r>
        <w:rPr>
          <w:sz w:val="32"/>
          <w:szCs w:val="32"/>
        </w:rPr>
        <w:t>.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cs="Times New Roman" w:ascii="Times New Roman" w:hAnsi="Times New Roman"/>
          <w:sz w:val="28"/>
          <w:szCs w:val="28"/>
          <w:lang w:val="en-US"/>
        </w:rPr>
      </w:r>
    </w:p>
    <w:p>
      <w:pPr>
        <w:pStyle w:val="Normal"/>
        <w:jc w:val="center"/>
        <w:rPr>
          <w:rFonts w:ascii="Times New Roman" w:hAnsi="Times New Roman" w:cs="Times New Roman"/>
          <w:b/>
          <w:sz w:val="52"/>
          <w:szCs w:val="52"/>
          <w:u w:val="single"/>
        </w:rPr>
      </w:pPr>
      <w:r>
        <w:rPr>
          <w:rFonts w:cs="Times New Roman" w:ascii="Times New Roman" w:hAnsi="Times New Roman"/>
          <w:b/>
          <w:sz w:val="52"/>
          <w:szCs w:val="52"/>
          <w:u w:val="single"/>
        </w:rPr>
        <w:t>СЪДЪРЖАНИЕ:</w:t>
      </w:r>
    </w:p>
    <w:p>
      <w:pPr>
        <w:pStyle w:val="Normal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sz w:val="28"/>
          <w:szCs w:val="28"/>
          <w:u w:val="single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1"/>
        </w:numPr>
        <w:spacing w:lineRule="auto" w:line="600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Увод ;</w:t>
      </w:r>
    </w:p>
    <w:p>
      <w:pPr>
        <w:pStyle w:val="Normal"/>
        <w:numPr>
          <w:ilvl w:val="0"/>
          <w:numId w:val="1"/>
        </w:numPr>
        <w:spacing w:lineRule="auto" w:line="600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Мениджмънт – понятие . Образователен мениджмънт ;</w:t>
      </w:r>
    </w:p>
    <w:p>
      <w:pPr>
        <w:pStyle w:val="Normal"/>
        <w:numPr>
          <w:ilvl w:val="0"/>
          <w:numId w:val="1"/>
        </w:numPr>
        <w:spacing w:lineRule="auto" w:line="600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 xml:space="preserve">Обект на образователния мениджмънт; </w:t>
      </w:r>
    </w:p>
    <w:p>
      <w:pPr>
        <w:pStyle w:val="Normal"/>
        <w:numPr>
          <w:ilvl w:val="0"/>
          <w:numId w:val="1"/>
        </w:numPr>
        <w:spacing w:lineRule="auto" w:line="600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 xml:space="preserve">Видове образователен мениджмънт ; </w:t>
      </w:r>
    </w:p>
    <w:p>
      <w:pPr>
        <w:pStyle w:val="Normal"/>
        <w:numPr>
          <w:ilvl w:val="0"/>
          <w:numId w:val="1"/>
        </w:numPr>
        <w:spacing w:lineRule="auto" w:line="600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>Принципи на управление на образователните институции ;</w:t>
      </w:r>
    </w:p>
    <w:p>
      <w:pPr>
        <w:pStyle w:val="Normal"/>
        <w:numPr>
          <w:ilvl w:val="0"/>
          <w:numId w:val="1"/>
        </w:numPr>
        <w:spacing w:lineRule="auto" w:line="600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  <w:t xml:space="preserve">Заключителна част; </w:t>
      </w:r>
    </w:p>
    <w:p>
      <w:pPr>
        <w:pStyle w:val="Normal"/>
        <w:spacing w:lineRule="auto" w:line="600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 w:ascii="Times New Roman" w:hAnsi="Times New Roman"/>
          <w:i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        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          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rPr/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          </w:t>
      </w:r>
      <w:r>
        <w:rPr>
          <w:rFonts w:cs="Times New Roman" w:ascii="Times New Roman" w:hAnsi="Times New Roman"/>
          <w:sz w:val="28"/>
          <w:szCs w:val="28"/>
        </w:rPr>
        <w:t>Понятието образование идва от английски език и обхваща цялостния процес на приобщаване на човека към културата на обществото. Структурата на българската образователна система е създадена на базата на определени  принципи.  Като най – съществени от тях, можем да отбележим  единство на образователните институции и учебно съдържание, административно</w:t>
      </w:r>
      <w:r>
        <w:rPr>
          <w:rFonts w:cs="Times New Roman" w:ascii="Times New Roman" w:hAnsi="Times New Roman"/>
          <w:sz w:val="28"/>
          <w:szCs w:val="28"/>
          <w:lang w:val="en-US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-</w:t>
      </w:r>
      <w:r>
        <w:rPr>
          <w:rFonts w:cs="Times New Roman" w:ascii="Times New Roman" w:hAnsi="Times New Roman"/>
          <w:sz w:val="28"/>
          <w:szCs w:val="28"/>
          <w:lang w:val="en-US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териториално структуриране на училищната мрежа, умерена централизация на управлението, с осезаеми елементи на автономия и децентрализация. Тези заложени принципи, се осъществяват благодарение на Държавните образователни изисквания и правно – нормативната база. Опирайки се на така заложените основи и стратегии за хармонично функциониране на образователните институции , се обособяват и методите на управление на административно – териториалните единици , във всяка категория.</w:t>
      </w:r>
      <w:r>
        <w:rPr/>
        <w:t xml:space="preserve"> </w:t>
      </w:r>
      <w:r>
        <w:rPr>
          <w:rFonts w:cs="Times New Roman" w:ascii="Times New Roman" w:hAnsi="Times New Roman"/>
          <w:sz w:val="28"/>
          <w:szCs w:val="28"/>
        </w:rPr>
        <w:t xml:space="preserve">Думата мениджмънт няма аналог в българския език и затова се използват синонимите „ управление ”  и „ научна организация на труд ”. Възприетите стандарти от международната научна област са, че мениджмънтът е наука за управлението като практическа общочовешка дейност. Разгледан, в сферата на управление на образователните институции, мениджмънта е специфично обединение между понятията 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„</w:t>
      </w:r>
      <w:r>
        <w:rPr>
          <w:rFonts w:eastAsia="Times New Roman"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 xml:space="preserve">образование „ и „ мениджмънт „ , консолидиращ в себе си ръководенето на една държавно урегулирана система във всеки един от управленските етажи. 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     </w:t>
      </w:r>
      <w:r>
        <w:rPr>
          <w:rFonts w:cs="Times New Roman" w:ascii="Times New Roman" w:hAnsi="Times New Roman"/>
          <w:sz w:val="28"/>
          <w:szCs w:val="28"/>
        </w:rPr>
        <w:t xml:space="preserve">Мениджмънтът  е своеобразен процес, на ръководене , който се осъществява еднолично или екипно и включва в себе си 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управление и координиране  дейността на други хора, с цел постигане на конкретни резултати. Образователният мениджмънт, сам по себе си е вид мениджмънт, практикуван в сферата на образованието. Неговото реализиране е пряко обвързано с  взимане на управленски решения , ръководене  цялостната дейност на различни образователни нива. В тази връзка можем да разграничим образователният мениджмънт , спрямо обекта на управление - управление на образователната система, управление на образователните институции, управление на образователните услуги и управление на образователния процес . 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    </w:t>
      </w:r>
      <w:r>
        <w:rPr>
          <w:rFonts w:cs="Times New Roman" w:ascii="Times New Roman" w:hAnsi="Times New Roman"/>
          <w:sz w:val="28"/>
          <w:szCs w:val="28"/>
        </w:rPr>
        <w:t xml:space="preserve">Управлението на образованието като процес и дейност е съставна част на социалното управление, в центъра на което стои човекът. 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Управленската дейност пряко или косвено е адресирана към него, към социалните обединения и групи, към съответните техни институти и дейности.Основното предназначение на възпитанието и обучението е целенасоченото направляване на развитието и формирането на личността. Управлението на възпитателния процес и дейност изисква да се познават социалните закони и психологическите и педагогически закономерности на развитие</w:t>
      </w:r>
      <w:r>
        <w:rPr>
          <w:rFonts w:cs="Times New Roman" w:ascii="Times New Roman" w:hAnsi="Times New Roman"/>
          <w:sz w:val="28"/>
          <w:szCs w:val="28"/>
          <w:lang w:val="en-US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 xml:space="preserve"> на личността. Управлението на съвременните образователни системи се осъществява на базата на няколко основни принципа за организационна идеология -централизация, децентрализация, училищна автономия. В зависимост от баланса между тези принципи и степента на тяхното реализиране в различните образователни системи функционират по-централизирани или децентрализирани модели на управление. Като цяло балансът между централизация и децентрализация е основан на традициите в образователната система, на реалностите, свързани с географските особености, обществено-политическия живот, икономиката на дадена страна. 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  </w:t>
      </w:r>
      <w:r>
        <w:rPr>
          <w:rFonts w:cs="Times New Roman" w:ascii="Times New Roman" w:hAnsi="Times New Roman"/>
          <w:sz w:val="28"/>
          <w:szCs w:val="28"/>
        </w:rPr>
        <w:t xml:space="preserve">Управлението на образователните институции е различно от това на другите организации. Целите на образователните институции са трудни за определяне в сравнение с тези на стопанските. Участниците в образователния процес са продукт и клиент на училището със свои отличителни характеристики, различни от продуктите на търговията. Учителите и непедагогическия персонал са от една професионална среда. Управлението на образованието е цялостен процес на взаимодействия и въздействия, включващи съвкупност от социални, информационни, организационни, психологически, административни, икономически дейности и действия, които изискват подходящи ръководни качества. От гледна точка на педагогическата наука образователните институции са цялостна  педагогическа система и управлението им представлява организационно-педагогическа дейност. Административната наука определя тези институции като държавни  и част от административната система. А социологическата наука отъждествява образователните институции като вид социални организации и институти с предмет на дейност социализацията на отделния индивид чрез възпитание и обучение, а управлението- като процес на взаимодействие между обекта и субекта на управление. 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Позициите на теорията на организацията и мениджмънта са, че управлението е неделимо свързано и следва развитието на управленската  и организационна мисъл. Затова и управлението е дейност, в която ръководния  субект, с помощта на решаването на управленски задачи, гарантира организираност на съвместната дейност на учители, ученици, персонал, родители, за да се реализират целите на обучението, както и развитието на учениците и училището. </w:t>
      </w:r>
      <w:r>
        <w:rPr>
          <w:rFonts w:cs="Times New Roman" w:ascii="Times New Roman" w:hAnsi="Times New Roman"/>
          <w:sz w:val="28"/>
          <w:szCs w:val="28"/>
          <w:lang w:val="en-US"/>
        </w:rPr>
        <w:t>За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  <w:lang w:val="en-US"/>
        </w:rPr>
        <w:t>нормалното</w:t>
      </w:r>
      <w:r>
        <w:rPr>
          <w:rFonts w:cs="Times New Roman" w:ascii="Times New Roman" w:hAnsi="Times New Roman"/>
          <w:sz w:val="28"/>
          <w:szCs w:val="28"/>
        </w:rPr>
        <w:t xml:space="preserve"> си</w:t>
      </w:r>
      <w:r>
        <w:rPr>
          <w:rFonts w:cs="Times New Roman" w:ascii="Times New Roman" w:hAnsi="Times New Roman"/>
          <w:sz w:val="28"/>
          <w:szCs w:val="28"/>
          <w:lang w:val="en-US"/>
        </w:rPr>
        <w:t xml:space="preserve">  функционир</w:t>
      </w:r>
      <w:r>
        <w:rPr>
          <w:rFonts w:cs="Times New Roman" w:ascii="Times New Roman" w:hAnsi="Times New Roman"/>
          <w:sz w:val="28"/>
          <w:szCs w:val="28"/>
        </w:rPr>
        <w:t xml:space="preserve">ане </w:t>
      </w:r>
      <w:r>
        <w:rPr>
          <w:rFonts w:cs="Times New Roman" w:ascii="Times New Roman" w:hAnsi="Times New Roman"/>
          <w:sz w:val="28"/>
          <w:szCs w:val="28"/>
          <w:lang w:val="en-US"/>
        </w:rPr>
        <w:t xml:space="preserve">като организация, </w:t>
      </w:r>
      <w:r>
        <w:rPr>
          <w:rFonts w:cs="Times New Roman" w:ascii="Times New Roman" w:hAnsi="Times New Roman"/>
          <w:sz w:val="28"/>
          <w:szCs w:val="28"/>
        </w:rPr>
        <w:t xml:space="preserve">образователното звено </w:t>
      </w:r>
      <w:r>
        <w:rPr>
          <w:rFonts w:cs="Times New Roman" w:ascii="Times New Roman" w:hAnsi="Times New Roman"/>
          <w:sz w:val="28"/>
          <w:szCs w:val="28"/>
          <w:lang w:val="en-US"/>
        </w:rPr>
        <w:t xml:space="preserve"> трябва да се съобразява със закони и подзаконови нормативни актове, </w:t>
      </w:r>
      <w:r>
        <w:rPr>
          <w:rFonts w:cs="Times New Roman" w:ascii="Times New Roman" w:hAnsi="Times New Roman"/>
          <w:sz w:val="28"/>
          <w:szCs w:val="28"/>
        </w:rPr>
        <w:t xml:space="preserve"> както </w:t>
      </w:r>
      <w:r>
        <w:rPr>
          <w:rFonts w:cs="Times New Roman" w:ascii="Times New Roman" w:hAnsi="Times New Roman"/>
          <w:sz w:val="28"/>
          <w:szCs w:val="28"/>
          <w:lang w:val="en-US"/>
        </w:rPr>
        <w:t>и с вътрешните си нормативни документи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  <w:lang w:val="en-US"/>
        </w:rPr>
        <w:t>- устройствен правилник и правилник на вътрешния ред.</w:t>
      </w:r>
      <w:r>
        <w:rPr>
          <w:rFonts w:cs="Times New Roman" w:ascii="Times New Roman" w:hAnsi="Times New Roman"/>
          <w:sz w:val="28"/>
          <w:szCs w:val="28"/>
        </w:rPr>
        <w:t xml:space="preserve"> В този ред , са се о</w:t>
      </w:r>
      <w:r>
        <w:rPr>
          <w:rFonts w:cs="Times New Roman" w:ascii="Times New Roman" w:hAnsi="Times New Roman"/>
          <w:sz w:val="28"/>
          <w:szCs w:val="28"/>
          <w:lang w:val="en-US"/>
        </w:rPr>
        <w:t xml:space="preserve">бособили 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  <w:lang w:val="en-US"/>
        </w:rPr>
        <w:t>и няколко модели на мениджмънт на образователната институция. Развитието на обществото, образователните системи, ценности</w:t>
      </w:r>
      <w:r>
        <w:rPr>
          <w:rFonts w:cs="Times New Roman" w:ascii="Times New Roman" w:hAnsi="Times New Roman"/>
          <w:sz w:val="28"/>
          <w:szCs w:val="28"/>
        </w:rPr>
        <w:t xml:space="preserve"> и </w:t>
      </w:r>
      <w:r>
        <w:rPr>
          <w:rFonts w:cs="Times New Roman" w:ascii="Times New Roman" w:hAnsi="Times New Roman"/>
          <w:sz w:val="28"/>
          <w:szCs w:val="28"/>
          <w:lang w:val="en-US"/>
        </w:rPr>
        <w:t xml:space="preserve">технологии </w:t>
      </w:r>
      <w:r>
        <w:rPr>
          <w:rFonts w:cs="Times New Roman" w:ascii="Times New Roman" w:hAnsi="Times New Roman"/>
          <w:sz w:val="28"/>
          <w:szCs w:val="28"/>
        </w:rPr>
        <w:t xml:space="preserve">, </w:t>
      </w:r>
      <w:r>
        <w:rPr>
          <w:rFonts w:cs="Times New Roman" w:ascii="Times New Roman" w:hAnsi="Times New Roman"/>
          <w:sz w:val="28"/>
          <w:szCs w:val="28"/>
          <w:lang w:val="en-US"/>
        </w:rPr>
        <w:t xml:space="preserve">оказват влияние върху управлението на </w:t>
      </w:r>
      <w:r>
        <w:rPr>
          <w:rFonts w:cs="Times New Roman" w:ascii="Times New Roman" w:hAnsi="Times New Roman"/>
          <w:sz w:val="28"/>
          <w:szCs w:val="28"/>
        </w:rPr>
        <w:t>образователните институции</w:t>
      </w:r>
      <w:r>
        <w:rPr>
          <w:rFonts w:cs="Times New Roman" w:ascii="Times New Roman" w:hAnsi="Times New Roman"/>
          <w:sz w:val="28"/>
          <w:szCs w:val="28"/>
          <w:lang w:val="en-US"/>
        </w:rPr>
        <w:t xml:space="preserve">. От историческа гледна точка </w:t>
      </w:r>
      <w:r>
        <w:rPr>
          <w:rFonts w:cs="Times New Roman" w:ascii="Times New Roman" w:hAnsi="Times New Roman"/>
          <w:sz w:val="28"/>
          <w:szCs w:val="28"/>
        </w:rPr>
        <w:t xml:space="preserve">, в образователната сфера </w:t>
      </w:r>
      <w:r>
        <w:rPr>
          <w:rFonts w:cs="Times New Roman" w:ascii="Times New Roman" w:hAnsi="Times New Roman"/>
          <w:sz w:val="28"/>
          <w:szCs w:val="28"/>
          <w:lang w:val="en-US"/>
        </w:rPr>
        <w:t>се оформят три типа управление : традиционен, поведенчески и рационален. В началото на 20 век управлението  се насочва към човешките отношения и устанонява близост с демократичното управление, с човечността</w:t>
      </w:r>
      <w:r>
        <w:rPr>
          <w:rFonts w:cs="Times New Roman" w:ascii="Times New Roman" w:hAnsi="Times New Roman"/>
          <w:sz w:val="28"/>
          <w:szCs w:val="28"/>
        </w:rPr>
        <w:t xml:space="preserve"> ,</w:t>
      </w:r>
      <w:r>
        <w:rPr>
          <w:rFonts w:cs="Times New Roman" w:ascii="Times New Roman" w:hAnsi="Times New Roman"/>
          <w:sz w:val="28"/>
          <w:szCs w:val="28"/>
          <w:lang w:val="en-US"/>
        </w:rPr>
        <w:t xml:space="preserve"> като увеличава участието на учителите в управлението. Този модел е адаптиран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  <w:lang w:val="en-US"/>
        </w:rPr>
        <w:t>към пазарното общество. Поведенческият подход се разива през 60-70-те години на 20 век с помощта на становищата на науките психология, философия и социология и се създават национални структурни организации. Стратегическо-целевото управление е свързано с процеса на реализиране на стратегията на организацията, която е пътят, по който тя постига целите си и реализира мисията си. При системния подход</w:t>
      </w:r>
      <w:r>
        <w:rPr>
          <w:rFonts w:cs="Times New Roman" w:ascii="Times New Roman" w:hAnsi="Times New Roman"/>
          <w:sz w:val="28"/>
          <w:szCs w:val="28"/>
        </w:rPr>
        <w:t>,</w:t>
      </w:r>
      <w:r>
        <w:rPr>
          <w:rFonts w:cs="Times New Roman" w:ascii="Times New Roman" w:hAnsi="Times New Roman"/>
          <w:sz w:val="28"/>
          <w:szCs w:val="28"/>
          <w:lang w:val="en-US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 xml:space="preserve">на </w:t>
      </w:r>
      <w:r>
        <w:rPr>
          <w:rFonts w:cs="Times New Roman" w:ascii="Times New Roman" w:hAnsi="Times New Roman"/>
          <w:sz w:val="28"/>
          <w:szCs w:val="28"/>
          <w:lang w:val="en-US"/>
        </w:rPr>
        <w:t>учрежденията и управлението им</w:t>
      </w:r>
      <w:r>
        <w:rPr>
          <w:rFonts w:cs="Times New Roman" w:ascii="Times New Roman" w:hAnsi="Times New Roman"/>
          <w:sz w:val="28"/>
          <w:szCs w:val="28"/>
        </w:rPr>
        <w:t xml:space="preserve">, </w:t>
      </w:r>
      <w:r>
        <w:rPr>
          <w:rFonts w:cs="Times New Roman" w:ascii="Times New Roman" w:hAnsi="Times New Roman"/>
          <w:sz w:val="28"/>
          <w:szCs w:val="28"/>
          <w:lang w:val="en-US"/>
        </w:rPr>
        <w:t xml:space="preserve"> се гледа от позициите на 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  <w:lang w:val="en-US"/>
        </w:rPr>
        <w:t>социологическата теория за организациите като социални системи. Управлението чрез ценности е насочено към увеличаващата роля на човешкия потенциал, професионализма, водещите личностни качества</w:t>
      </w:r>
      <w:r>
        <w:rPr>
          <w:rFonts w:cs="Times New Roman" w:ascii="Times New Roman" w:hAnsi="Times New Roman"/>
          <w:sz w:val="28"/>
          <w:szCs w:val="28"/>
        </w:rPr>
        <w:t xml:space="preserve"> на </w:t>
      </w:r>
      <w:r>
        <w:rPr>
          <w:rFonts w:cs="Times New Roman" w:ascii="Times New Roman" w:hAnsi="Times New Roman"/>
          <w:sz w:val="28"/>
          <w:szCs w:val="28"/>
          <w:lang w:val="en-US"/>
        </w:rPr>
        <w:t>персонала и отговорността на мениджърите във всички равнища. Европейските модели се опират на класическата теория в края на 20 век</w:t>
      </w:r>
      <w:r>
        <w:rPr>
          <w:rFonts w:cs="Times New Roman" w:ascii="Times New Roman" w:hAnsi="Times New Roman"/>
          <w:sz w:val="28"/>
          <w:szCs w:val="28"/>
        </w:rPr>
        <w:t xml:space="preserve">. </w:t>
      </w:r>
      <w:r>
        <w:rPr>
          <w:rFonts w:cs="Times New Roman" w:ascii="Times New Roman" w:hAnsi="Times New Roman"/>
          <w:sz w:val="28"/>
          <w:szCs w:val="28"/>
          <w:lang w:val="en-US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На лице са</w:t>
      </w:r>
      <w:r>
        <w:rPr>
          <w:rFonts w:cs="Times New Roman" w:ascii="Times New Roman" w:hAnsi="Times New Roman"/>
          <w:sz w:val="28"/>
          <w:szCs w:val="28"/>
          <w:lang w:val="en-US"/>
        </w:rPr>
        <w:t xml:space="preserve"> гол</w:t>
      </w:r>
      <w:r>
        <w:rPr>
          <w:rFonts w:cs="Times New Roman" w:ascii="Times New Roman" w:hAnsi="Times New Roman"/>
          <w:sz w:val="28"/>
          <w:szCs w:val="28"/>
        </w:rPr>
        <w:t>я</w:t>
      </w:r>
      <w:r>
        <w:rPr>
          <w:rFonts w:cs="Times New Roman" w:ascii="Times New Roman" w:hAnsi="Times New Roman"/>
          <w:sz w:val="28"/>
          <w:szCs w:val="28"/>
          <w:lang w:val="en-US"/>
        </w:rPr>
        <w:t xml:space="preserve">мо разнообразие от </w:t>
      </w:r>
      <w:r>
        <w:rPr>
          <w:rFonts w:cs="Times New Roman" w:ascii="Times New Roman" w:hAnsi="Times New Roman"/>
          <w:sz w:val="28"/>
          <w:szCs w:val="28"/>
        </w:rPr>
        <w:t>методи</w:t>
      </w:r>
      <w:r>
        <w:rPr>
          <w:rFonts w:cs="Times New Roman" w:ascii="Times New Roman" w:hAnsi="Times New Roman"/>
          <w:sz w:val="28"/>
          <w:szCs w:val="28"/>
          <w:lang w:val="en-US"/>
        </w:rPr>
        <w:t>, като се използват идеи от различни школи и се изграждат нови управленски концепции.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rPr/>
      </w:pPr>
      <w:r>
        <w:rPr>
          <w:rFonts w:cs="Times New Roman" w:ascii="Times New Roman" w:hAnsi="Times New Roman"/>
          <w:sz w:val="28"/>
          <w:szCs w:val="28"/>
        </w:rPr>
        <w:t>Управлението на образователните услуги е многопластова дейност, реализираща се във всички нива на образователната система в България.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    </w:t>
      </w:r>
      <w:r>
        <w:rPr>
          <w:rFonts w:cs="Times New Roman" w:ascii="Times New Roman" w:hAnsi="Times New Roman"/>
          <w:sz w:val="28"/>
          <w:szCs w:val="28"/>
        </w:rPr>
        <w:t>Съвременните нужди от модерно и отговарящо на пазарните изисквания  образование , налага разширяване  възможностите  в категорията на образователните услуги.</w:t>
      </w:r>
      <w:r>
        <w:rPr>
          <w:rFonts w:cs="Times New Roman" w:ascii="Times New Roman" w:hAnsi="Times New Roman"/>
          <w:sz w:val="28"/>
          <w:szCs w:val="28"/>
          <w:lang w:val="en-US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 xml:space="preserve">Тяхното нарастване , неизменно води до необходимостта от адекватно управление, с цел да се покрият нуждите на обучаващите се и по този начин да се постигнат целите на образованието. Динамичното ръководене и правилно управление на образователните услуги трябва да е в унисон и с промените в сферата на социалното развитие на човешките общности, технологичните процеси както и управлението на системата от взаимоотношения в тях и между тях. Една от основните задачи на демократичното общество е да съхрани и доразвие образованието, за да може българското общество да докаже, че е напреднало общество, благодарение на знанието. За да бъдат част от европейското общество, българите трябва да притежават необходимата им за това професионална квалификация и опит. 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Пряко свързана с дейностите на управление на образователния процес е Програмата за развитие на образованието, науката и младежките политики в Република България /2009 – 2013 г./. Програмата спомага за постигане на необходимото съответствие между степента на подготвеност на работната сила за производствения процес и изискванията на производството относно квалификацията на заетите в него. За постигането на тази цел е необходимо откриване на нови възможности за подобряване на учебно-възпитателния процес в училище, разработване и прилагане на нови методи и средства за обучение.</w:t>
      </w:r>
      <w:r>
        <w:rPr/>
        <w:t xml:space="preserve"> </w:t>
      </w:r>
      <w:r>
        <w:rPr>
          <w:rFonts w:cs="Times New Roman" w:ascii="Times New Roman" w:hAnsi="Times New Roman"/>
          <w:sz w:val="28"/>
          <w:szCs w:val="28"/>
        </w:rPr>
        <w:t>Като отражение на социалните потребности се разработват програми, свързани с интеграция на децата и учениците от етническите малцинства в образователната система в България, програма по подпомагане на обучението на деца и ученици със специални образователни потребности. Образователният процес също е неразривно свързан и с технологичните промени, извършвани в обществото. Съвременните технологии определят това, как преподавателите по-качествено ще обучават и как учащите ще възприемат по-надеждно знанията.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 xml:space="preserve">Всички тези съвременни изисквания към образованието , се нуждаят от адекватно и навременно управление на цялостния образователния процес . Именно поради нарастващата роля на управленските структури в образованието , се повишават и изискванията към лицата с ръководни функции. Управленските звена при упражняването на образователния мениджмънт , трябва да владеят и демонстрират иновативни и гъвкави решения за прилагането на научни подходи в управлението на образователния процес, на образователните институции, а в по-широк план – на образователните системи . </w:t>
      </w:r>
    </w:p>
    <w:p>
      <w:pPr>
        <w:pStyle w:val="Normal"/>
        <w:spacing w:before="0" w:after="0"/>
        <w:rPr/>
      </w:pPr>
      <w:r>
        <w:rPr>
          <w:rFonts w:cs="Times New Roman" w:ascii="Times New Roman" w:hAnsi="Times New Roman"/>
          <w:sz w:val="28"/>
          <w:szCs w:val="28"/>
        </w:rPr>
        <w:t>За разгръщане на границите на образователния мениджмънт, съществува цял инструментариум от средства и подходи. Практически и изхождайки от характеристиката на работата на мениджъра в едно предприятие или институция , можем да обединим понятието като работа по ръководене и управление . В този контекст образователният мениджмънт , по своята практическа същност се явява работата на ръководствата на различните видове учебни заведения и фирми за образователни услуги за деца и възрастни . Това включва всички дейности , консолидиращи функциите, ролите, дейностите по организацията, планирането, координирането, контрола, подбора и квалификацията на персонала .  В рамките на управленската дейност влизат и контролиращите образованието организации - министерство, регионални инспекторати, както и мениджмънтът на учебния процес.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Погледнато от друга страна, това са всички вътрешно управленски дейности , благодарение на които функционира правилно и хармонично една образователна институция . Когато са постигнати целите на вътрешната организация на едно образователно звено, се обезпечава и безпроблемната комуникация с взаимодействащите с образователната институция среди. Това са общините, в които се намират и управителните органи, на които официално са подчинени.</w:t>
      </w:r>
    </w:p>
    <w:p>
      <w:pPr>
        <w:pStyle w:val="Normal"/>
        <w:spacing w:before="0" w:after="0"/>
        <w:rPr/>
      </w:pPr>
      <w:r>
        <w:rPr>
          <w:rFonts w:cs="Times New Roman" w:ascii="Times New Roman" w:hAnsi="Times New Roman"/>
          <w:sz w:val="28"/>
          <w:szCs w:val="28"/>
        </w:rPr>
        <w:t>Водейки се от факта, че  образователните институции се различават относно тяхното предназначение и цели, в сферата на образователния мениджмънт могат да се обособят различни разновидности  - училищен мениджмънт, университетски мениджмънт, мениджмънт  на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институциите за неформално образование . Независимо от вида на институцията , в която се упражнява образователния мениджмънт , основна роля имат съвременните модели на управление на училищните 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организации . Иновационният мениджмънт има за цел да включи нови направления в дейността на училищната организация като я промени и обнови. Проектният мениджмънт е насочен към разработване и реализиране на проекти. Не може да се подмине и фактът, че днес все повече се използват информационните и комуникационните 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технологии в управленския процес. Мениджмънтът на съответната институция трябва да се съобразява и с принципите на управление. Те са основни изходни положения, отразяват реални връзки и закономерности присъщи за управленския процес и чрез тях се постига успех в управлението. Можем да отбележим няколко от тях.  На първо място е принципът за целесъобразност, който изисква точно определяне на стратегическата цел и разделянето на подцели , установяване на връзките между тях, определянето им по важност. Дейностите на организацията трябва да са подчинени на стратегическата цел, да се съобразени с интересите и  възможностите на членовете на образователната общност. Вторият е принципът за разделение на труда – обособява се в задачата , ръководителят на образователно-възпитателната институция да определи задълженията, правата и отговорностите на участниците в дейността или в управлението на училищната организацията. Следващият е принципът за демократичност и се гради  на това да се търси винаги мнението на подчинените за вземане на управленски решения, свобода в действията извън регламентите в нормативните актове. Друг съществен принцип е този за единство в разпореждането - действията на управленските органи да са обединени от една идея и един център. Относителната автономност на образователно-възпитателната институция е важен елемент от образователния мениджмънт и се  изразява  в това, дадена институция да действа в демократична, правова, пазарно ориентирана държава с гражданско общество. Следвайки този принцип, образователните институции да имат свободата да се управляват самостоятелно с помощта на вътрешни нормативни актове, да разполагат с финансови и материални средства и да имат право на собствена организация на дейностите за развитие и оцеляване. За успешно боравене с инструментите на управлението и навременното контролиране на целия ръководен процес в една учебна структура, е много важно да се прилага принципът за диверсификация. Чрез него се 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отчитат постоянно промените в условията на пазара, разширяването или промяната на учебното заведение и извършването на допълнителни дейности. За да се отчетат правилно резултатите от функционирането и приложените стратегии , в практиката се използва принципът на обратна връзка- да се констатира съответствие между поставените цели и постигнатите успехи. Паралелно с прилагането на всички изброени </w:t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стратегии и способи за успешно управление на една институция , иновативният мениджър работи и за засилване усилията за оптимално използване на ресурсите и безгрешна вътрешна организация на дейностите. По този начин постига мотивиране на персонала за по – добри резултати. 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    </w:t>
      </w:r>
      <w:r>
        <w:rPr>
          <w:rFonts w:cs="Times New Roman" w:ascii="Times New Roman" w:hAnsi="Times New Roman"/>
          <w:sz w:val="28"/>
          <w:szCs w:val="28"/>
        </w:rPr>
        <w:t>Според Г. Цоков  „</w:t>
      </w:r>
      <w:r>
        <w:rPr>
          <w:rFonts w:cs="Times New Roman" w:ascii="Times New Roman" w:hAnsi="Times New Roman"/>
          <w:sz w:val="28"/>
          <w:szCs w:val="28"/>
          <w:lang w:val="en-US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 xml:space="preserve">Мениджмънтът е процес, ориентиран към постигане на целите на организацията, мобилизиране на човешките ресурси и използване на интелектуалните и физическите им възможности в контекста на социалната среда, при който се осигурява изпълнението на програмите и реализацията на целите в практиката на една организация „ </w:t>
      </w:r>
      <w:r>
        <w:rPr>
          <w:rFonts w:cs="Times New Roman" w:ascii="Times New Roman" w:hAnsi="Times New Roman"/>
          <w:sz w:val="28"/>
          <w:szCs w:val="28"/>
          <w:lang w:val="en-US"/>
        </w:rPr>
        <w:t xml:space="preserve">. </w:t>
      </w:r>
      <w:r>
        <w:rPr>
          <w:rFonts w:cs="Times New Roman" w:ascii="Times New Roman" w:hAnsi="Times New Roman"/>
          <w:sz w:val="28"/>
          <w:szCs w:val="28"/>
        </w:rPr>
        <w:t xml:space="preserve">Този иновативен управленчески подход , в хода на нарастващите нужди и изисквания на съвременното общество, се разраства до толкова ,че се превръща в една цяла нова сфера на образование . Засиленото търсене на нови стратегии и предлагането на разширени възможности за обучение, квалификация и преквалификация, обяснява нуждата от това ново образователно направление. Професионалната квалификация, в сферата на мениджмънта, открива широко поле за изява на пазара на труда, като този процес е двупосочен. От една страна, това дава на лицето завършило специалност мениджмънт възможност за по –добри условия на труд , предпоставки за кариерно израстване и конкурентно възнаграждение. От друга страна , нуждите на институциите от квалифицирани и обучени управленски кадри , диктуват засиленото търсене на такива служители. Наемайки професионално квалифицирани мениджъри , работодателите спестяват време за обучение, насочват в правилната посока работната сила, благодарение на което , своевременно разработват и реализират редица иновативни проекти. Образователния мениджмънт може да се определи като процес, при който посредством интегриране на ресурси, решаване на 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управленски задачи, развитие на съвместна дейност между педагогическия персонал, ученици и родители, се достигат целите на организацията, свързани с успешното протичане на педагогическия процес и постигането на качествени образователни продукти и услуги. Благодарение на възможностите за професионална квалификация  в сферата на образователния мениджмънт , образователните институции имат възможност да създават все по – иновативни програми , да превръщат образованието в достъпно и гъвкаво за учащите . Новаторството, професионалната подготовка и уменията за умело ръководене на образователният процес , е ключът към правилното развитие на образователния мениджмънт в България . </w:t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b/>
          <w:sz w:val="52"/>
          <w:szCs w:val="52"/>
          <w:u w:val="single"/>
        </w:rPr>
      </w:pPr>
      <w:r>
        <w:rPr>
          <w:rFonts w:cs="Times New Roman" w:ascii="Times New Roman" w:hAnsi="Times New Roman"/>
          <w:b/>
          <w:sz w:val="52"/>
          <w:szCs w:val="52"/>
          <w:u w:val="single"/>
        </w:rPr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b/>
          <w:sz w:val="52"/>
          <w:szCs w:val="52"/>
          <w:u w:val="single"/>
        </w:rPr>
      </w:pPr>
      <w:r>
        <w:rPr>
          <w:rFonts w:cs="Times New Roman" w:ascii="Times New Roman" w:hAnsi="Times New Roman"/>
          <w:b/>
          <w:sz w:val="52"/>
          <w:szCs w:val="52"/>
          <w:u w:val="single"/>
        </w:rPr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b/>
          <w:sz w:val="52"/>
          <w:szCs w:val="52"/>
          <w:u w:val="single"/>
        </w:rPr>
      </w:pPr>
      <w:r>
        <w:rPr>
          <w:rFonts w:cs="Times New Roman" w:ascii="Times New Roman" w:hAnsi="Times New Roman"/>
          <w:b/>
          <w:sz w:val="52"/>
          <w:szCs w:val="52"/>
          <w:u w:val="single"/>
        </w:rPr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b/>
          <w:sz w:val="52"/>
          <w:szCs w:val="52"/>
          <w:u w:val="single"/>
        </w:rPr>
      </w:pPr>
      <w:r>
        <w:rPr>
          <w:rFonts w:cs="Times New Roman" w:ascii="Times New Roman" w:hAnsi="Times New Roman"/>
          <w:b/>
          <w:sz w:val="52"/>
          <w:szCs w:val="52"/>
          <w:u w:val="single"/>
        </w:rPr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b/>
          <w:sz w:val="52"/>
          <w:szCs w:val="52"/>
          <w:u w:val="single"/>
        </w:rPr>
      </w:pPr>
      <w:r>
        <w:rPr>
          <w:rFonts w:cs="Times New Roman" w:ascii="Times New Roman" w:hAnsi="Times New Roman"/>
          <w:b/>
          <w:sz w:val="52"/>
          <w:szCs w:val="52"/>
          <w:u w:val="single"/>
        </w:rPr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sz w:val="52"/>
          <w:szCs w:val="52"/>
          <w:u w:val="single"/>
        </w:rPr>
      </w:pPr>
      <w:r>
        <w:rPr>
          <w:rFonts w:cs="Times New Roman" w:ascii="Times New Roman" w:hAnsi="Times New Roman"/>
          <w:b/>
          <w:sz w:val="52"/>
          <w:szCs w:val="52"/>
          <w:u w:val="single"/>
        </w:rPr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sz w:val="52"/>
          <w:szCs w:val="52"/>
          <w:u w:val="single"/>
        </w:rPr>
      </w:pPr>
      <w:r>
        <w:rPr>
          <w:rFonts w:cs="Times New Roman" w:ascii="Times New Roman" w:hAnsi="Times New Roman"/>
          <w:b/>
          <w:sz w:val="52"/>
          <w:szCs w:val="52"/>
          <w:u w:val="single"/>
        </w:rPr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sz w:val="52"/>
          <w:szCs w:val="52"/>
          <w:u w:val="single"/>
        </w:rPr>
      </w:pPr>
      <w:r>
        <w:rPr>
          <w:rFonts w:cs="Times New Roman" w:ascii="Times New Roman" w:hAnsi="Times New Roman"/>
          <w:b/>
          <w:sz w:val="52"/>
          <w:szCs w:val="52"/>
          <w:u w:val="single"/>
        </w:rPr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sz w:val="52"/>
          <w:szCs w:val="52"/>
          <w:u w:val="single"/>
        </w:rPr>
      </w:pPr>
      <w:r>
        <w:rPr>
          <w:rFonts w:cs="Times New Roman" w:ascii="Times New Roman" w:hAnsi="Times New Roman"/>
          <w:b/>
          <w:sz w:val="52"/>
          <w:szCs w:val="52"/>
          <w:u w:val="single"/>
        </w:rPr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sz w:val="52"/>
          <w:szCs w:val="52"/>
          <w:u w:val="single"/>
        </w:rPr>
      </w:pPr>
      <w:r>
        <w:rPr>
          <w:rFonts w:cs="Times New Roman" w:ascii="Times New Roman" w:hAnsi="Times New Roman"/>
          <w:b/>
          <w:sz w:val="52"/>
          <w:szCs w:val="52"/>
          <w:u w:val="single"/>
        </w:rPr>
        <w:t>Литература:</w:t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b/>
          <w:sz w:val="52"/>
          <w:szCs w:val="52"/>
          <w:u w:val="single"/>
        </w:rPr>
      </w:pPr>
      <w:r>
        <w:rPr>
          <w:rFonts w:cs="Times New Roman" w:ascii="Times New Roman" w:hAnsi="Times New Roman"/>
          <w:b/>
          <w:sz w:val="52"/>
          <w:szCs w:val="52"/>
          <w:u w:val="single"/>
        </w:rPr>
      </w:r>
    </w:p>
    <w:p>
      <w:pPr>
        <w:pStyle w:val="Msolistparagraph"/>
        <w:spacing w:lineRule="auto" w:line="360"/>
        <w:ind w:start="0" w:end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   </w:t>
      </w:r>
    </w:p>
    <w:p>
      <w:pPr>
        <w:pStyle w:val="Msolistparagraph"/>
        <w:spacing w:lineRule="auto" w:line="360"/>
        <w:ind w:start="0" w:end="0"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     </w:t>
      </w:r>
      <w:r>
        <w:rPr>
          <w:rFonts w:cs="Times New Roman" w:ascii="Times New Roman" w:hAnsi="Times New Roman"/>
          <w:sz w:val="28"/>
          <w:szCs w:val="28"/>
        </w:rPr>
        <w:t>1. Н. Колишев (2012) Контролнооценъчните умения на учителите. Педагогика, 4 1271-1295.</w:t>
      </w:r>
    </w:p>
    <w:p>
      <w:pPr>
        <w:pStyle w:val="Msolistparagraph"/>
        <w:spacing w:lineRule="auto" w:line="360"/>
        <w:ind w:start="0" w:end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    </w:t>
      </w:r>
    </w:p>
    <w:p>
      <w:pPr>
        <w:pStyle w:val="Msolistparagraph"/>
        <w:spacing w:lineRule="auto" w:line="360"/>
        <w:ind w:start="0" w:end="0"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      </w:t>
      </w:r>
      <w:r>
        <w:rPr>
          <w:rFonts w:cs="Times New Roman" w:ascii="Times New Roman" w:hAnsi="Times New Roman"/>
          <w:sz w:val="28"/>
          <w:szCs w:val="28"/>
        </w:rPr>
        <w:t>2. В. Гюрова, В. Божилова (2008) “Портфолиото на преподавателя”. Агенция Европрес, София.</w:t>
      </w:r>
    </w:p>
    <w:p>
      <w:pPr>
        <w:pStyle w:val="Msolistparagraph"/>
        <w:spacing w:lineRule="auto" w:line="360"/>
        <w:ind w:start="0" w:end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  </w:t>
      </w:r>
    </w:p>
    <w:p>
      <w:pPr>
        <w:pStyle w:val="Msolistparagraph"/>
        <w:spacing w:lineRule="auto" w:line="360"/>
        <w:ind w:start="0" w:end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     </w:t>
      </w:r>
      <w:r>
        <w:rPr>
          <w:rFonts w:cs="Times New Roman" w:ascii="Times New Roman" w:hAnsi="Times New Roman"/>
          <w:sz w:val="28"/>
          <w:szCs w:val="28"/>
        </w:rPr>
        <w:t>3. Н. Димитрова (2013) “Интерактивност и обучение. Модели на интерактивно обучение в продължаващото образование на учителите по физика”.</w:t>
      </w:r>
    </w:p>
    <w:p>
      <w:pPr>
        <w:pStyle w:val="Msolistparagraph"/>
        <w:spacing w:lineRule="auto" w:line="360"/>
        <w:ind w:start="0" w:end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Msolistparagraph"/>
        <w:spacing w:lineRule="auto" w:line="360"/>
        <w:ind w:start="0" w:end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     </w:t>
      </w:r>
      <w:r>
        <w:rPr>
          <w:rFonts w:cs="Times New Roman" w:ascii="Times New Roman" w:hAnsi="Times New Roman"/>
          <w:sz w:val="28"/>
          <w:szCs w:val="28"/>
        </w:rPr>
        <w:t>4. https://www.gtcc.edu/media/38323/gtcccareerportfolioguide.pdf (III, IV)</w:t>
      </w:r>
    </w:p>
    <w:p>
      <w:pPr>
        <w:pStyle w:val="Normal"/>
        <w:spacing w:lineRule="auto" w:line="360" w:before="280" w:after="280"/>
        <w:jc w:val="both"/>
        <w:rPr>
          <w:rFonts w:ascii="Times New Roman" w:hAnsi="Times New Roman" w:eastAsia="SimSun;宋体" w:cs="Times New Roman"/>
          <w:sz w:val="28"/>
          <w:szCs w:val="28"/>
          <w:lang w:eastAsia="zh-CN"/>
        </w:rPr>
      </w:pPr>
      <w:r>
        <w:rPr>
          <w:rFonts w:eastAsia="SimSun;宋体" w:cs="Times New Roman" w:ascii="Times New Roman" w:hAnsi="Times New Roman"/>
          <w:sz w:val="28"/>
          <w:szCs w:val="28"/>
          <w:lang w:eastAsia="zh-CN"/>
        </w:rPr>
      </w:r>
    </w:p>
    <w:p>
      <w:pPr>
        <w:pStyle w:val="Normal"/>
        <w:spacing w:lineRule="auto" w:line="360" w:before="0" w:after="200"/>
        <w:jc w:val="both"/>
        <w:rPr>
          <w:rFonts w:ascii="Times New Roman" w:hAnsi="Times New Roman" w:eastAsia="SimSun;宋体" w:cs="Times New Roman"/>
          <w:sz w:val="28"/>
          <w:szCs w:val="28"/>
          <w:lang w:eastAsia="zh-CN"/>
        </w:rPr>
      </w:pPr>
      <w:r>
        <w:rPr>
          <w:rFonts w:eastAsia="SimSun;宋体" w:cs="Times New Roman" w:ascii="Times New Roman" w:hAnsi="Times New Roman"/>
          <w:sz w:val="28"/>
          <w:szCs w:val="28"/>
          <w:lang w:eastAsia="zh-CN"/>
        </w:rPr>
      </w:r>
    </w:p>
    <w:sectPr>
      <w:headerReference w:type="default" r:id="rId3"/>
      <w:headerReference w:type="first" r:id="rId4"/>
      <w:type w:val="nextPage"/>
      <w:pgSz w:w="11906" w:h="16838"/>
      <w:pgMar w:left="1843" w:right="1417" w:gutter="0" w:header="708" w:top="1417" w:footer="0" w:bottom="1417"/>
      <w:pgNumType w:start="1"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libri">
    <w:charset w:val="cc" w:characterSet="windows-1251"/>
    <w:family w:val="swiss"/>
    <w:pitch w:val="variable"/>
  </w:font>
  <w:font w:name="Times New Roman">
    <w:charset w:val="cc" w:characterSet="windows-1251"/>
    <w:family w:val="roman"/>
    <w:pitch w:val="variable"/>
  </w:font>
  <w:font w:name="Courier New">
    <w:charset w:val="cc" w:characterSet="windows-1251"/>
    <w:family w:val="modern"/>
    <w:pitch w:val="default"/>
  </w:font>
  <w:font w:name="Wingdings">
    <w:charset w:val="02"/>
    <w:family w:val="auto"/>
    <w:pitch w:val="variable"/>
  </w:font>
  <w:font w:name="Helvetica">
    <w:altName w:val="Arial"/>
    <w:charset w:val="00" w:characterSet="windows-1252"/>
    <w:family w:val="swiss"/>
    <w:pitch w:val="variable"/>
  </w:font>
  <w:font w:name="Cambria">
    <w:charset w:val="cc" w:characterSet="windows-125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200"/>
      <w:rPr/>
    </w:pPr>
    <w:r>
      <w:rPr/>
    </w:r>
    <w:r>
      <mc:AlternateContent>
        <mc:Choice Requires="wps">
          <w:drawing>
            <wp:anchor behindDoc="0" distT="0" distB="0" distL="0" distR="0" simplePos="0" locked="0" layoutInCell="0" allowOverlap="1" relativeHeight="1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2240" cy="170815"/>
              <wp:effectExtent l="0" t="0" r="0" b="0"/>
              <wp:wrapSquare wrapText="bothSides"/>
              <wp:docPr id="2" name="Frame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2240" cy="17081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Header"/>
                            <w:spacing w:before="0" w:after="200"/>
                            <w:rPr/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11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11.2pt;height:13.45pt;mso-wrap-distance-left:0pt;mso-wrap-distance-right:0pt;mso-wrap-distance-top:0pt;mso-wrap-distance-bottom:0pt;margin-top:0.05pt;mso-position-vertical-relative:text;margin-left:210.55pt;mso-position-horizontal:center;mso-position-horizontal-relative:margin">
              <v:fill opacity="0f"/>
              <v:textbox inset="0in,0in,0in,0in">
                <w:txbxContent>
                  <w:p>
                    <w:pPr>
                      <w:pStyle w:val="Header"/>
                      <w:spacing w:before="0" w:after="200"/>
                      <w:rPr/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11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200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roid Sans Fallback" w:cs="Droid Sans Devanagari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  <w:spacing w:lineRule="auto" w:line="276" w:before="0" w:after="200"/>
    </w:pPr>
    <w:rPr>
      <w:rFonts w:ascii="Calibri" w:hAnsi="Calibri" w:eastAsia="Calibri" w:cs="Calibri"/>
      <w:color w:val="auto"/>
      <w:sz w:val="22"/>
      <w:szCs w:val="22"/>
      <w:lang w:val="bg-BG" w:bidi="ar-SA" w:eastAsia="zh-CN"/>
    </w:rPr>
  </w:style>
  <w:style w:type="character" w:styleId="WW8Num2z0">
    <w:name w:val="WW8Num2z0"/>
    <w:qFormat/>
    <w:rPr>
      <w:rFonts w:ascii="Times New Roman" w:hAnsi="Times New Roman" w:eastAsia="Calibri" w:cs="Times New Roman"/>
    </w:rPr>
  </w:style>
  <w:style w:type="character" w:styleId="WW8Num2z1">
    <w:name w:val="WW8Num2z1"/>
    <w:qFormat/>
    <w:rPr>
      <w:rFonts w:ascii="Courier New" w:hAnsi="Courier New" w:cs="Courier New"/>
    </w:rPr>
  </w:style>
  <w:style w:type="character" w:styleId="WW8Num2z2">
    <w:name w:val="WW8Num2z2"/>
    <w:qFormat/>
    <w:rPr>
      <w:rFonts w:ascii="Wingdings" w:hAnsi="Wingdings" w:cs="Wingdings"/>
    </w:rPr>
  </w:style>
  <w:style w:type="character" w:styleId="WW8Num2z3">
    <w:name w:val="WW8Num2z3"/>
    <w:qFormat/>
    <w:rPr>
      <w:rFonts w:ascii="Symbol" w:hAnsi="Symbol" w:cs="Symbol"/>
    </w:rPr>
  </w:style>
  <w:style w:type="character" w:styleId="WW8Num3z0">
    <w:name w:val="WW8Num3z0"/>
    <w:qFormat/>
    <w:rPr/>
  </w:style>
  <w:style w:type="character" w:styleId="WW8Num6z0">
    <w:name w:val="WW8Num6z0"/>
    <w:qFormat/>
    <w:rPr>
      <w:rFonts w:ascii="Times New Roman" w:hAnsi="Times New Roman" w:eastAsia="Calibri" w:cs="Times New Roman"/>
    </w:rPr>
  </w:style>
  <w:style w:type="character" w:styleId="WW8Num6z1">
    <w:name w:val="WW8Num6z1"/>
    <w:qFormat/>
    <w:rPr>
      <w:rFonts w:ascii="Courier New" w:hAnsi="Courier New" w:cs="Courier New"/>
    </w:rPr>
  </w:style>
  <w:style w:type="character" w:styleId="WW8Num6z2">
    <w:name w:val="WW8Num6z2"/>
    <w:qFormat/>
    <w:rPr>
      <w:rFonts w:ascii="Wingdings" w:hAnsi="Wingdings" w:cs="Wingdings"/>
    </w:rPr>
  </w:style>
  <w:style w:type="character" w:styleId="WW8Num6z3">
    <w:name w:val="WW8Num6z3"/>
    <w:qFormat/>
    <w:rPr>
      <w:rFonts w:ascii="Symbol" w:hAnsi="Symbol" w:cs="Symbol"/>
    </w:rPr>
  </w:style>
  <w:style w:type="character" w:styleId="WW8Num7z0">
    <w:name w:val="WW8Num7z0"/>
    <w:qFormat/>
    <w:rPr>
      <w:rFonts w:ascii="Symbol" w:hAnsi="Symbol" w:cs="Symbol"/>
    </w:rPr>
  </w:style>
  <w:style w:type="character" w:styleId="WW8Num7z1">
    <w:name w:val="WW8Num7z1"/>
    <w:qFormat/>
    <w:rPr>
      <w:rFonts w:ascii="Courier New" w:hAnsi="Courier New" w:cs="Courier New"/>
    </w:rPr>
  </w:style>
  <w:style w:type="character" w:styleId="WW8Num7z2">
    <w:name w:val="WW8Num7z2"/>
    <w:qFormat/>
    <w:rPr>
      <w:rFonts w:ascii="Wingdings" w:hAnsi="Wingdings" w:cs="Wingdings"/>
    </w:rPr>
  </w:style>
  <w:style w:type="character" w:styleId="WW8Num8z0">
    <w:name w:val="WW8Num8z0"/>
    <w:qFormat/>
    <w:rPr>
      <w:rFonts w:ascii="Helvetica" w:hAnsi="Helvetica" w:eastAsia="Calibri" w:cs="Helvetica"/>
    </w:rPr>
  </w:style>
  <w:style w:type="character" w:styleId="WW8Num8z1">
    <w:name w:val="WW8Num8z1"/>
    <w:qFormat/>
    <w:rPr>
      <w:rFonts w:ascii="Courier New" w:hAnsi="Courier New" w:cs="Courier New"/>
    </w:rPr>
  </w:style>
  <w:style w:type="character" w:styleId="WW8Num8z2">
    <w:name w:val="WW8Num8z2"/>
    <w:qFormat/>
    <w:rPr>
      <w:rFonts w:ascii="Wingdings" w:hAnsi="Wingdings" w:cs="Wingdings"/>
    </w:rPr>
  </w:style>
  <w:style w:type="character" w:styleId="WW8Num8z3">
    <w:name w:val="WW8Num8z3"/>
    <w:qFormat/>
    <w:rPr>
      <w:rFonts w:ascii="Symbol" w:hAnsi="Symbol" w:cs="Symbol"/>
    </w:rPr>
  </w:style>
  <w:style w:type="character" w:styleId="WW8Num9z0">
    <w:name w:val="WW8Num9z0"/>
    <w:qFormat/>
    <w:rPr/>
  </w:style>
  <w:style w:type="character" w:styleId="WW8Num10z0">
    <w:name w:val="WW8Num10z0"/>
    <w:qFormat/>
    <w:rPr/>
  </w:style>
  <w:style w:type="character" w:styleId="Style14">
    <w:name w:val="Шрифт на абзаца по подразбиране"/>
    <w:qFormat/>
    <w:rPr/>
  </w:style>
  <w:style w:type="character" w:styleId="PageNumber">
    <w:name w:val="Page Number"/>
    <w:basedOn w:val="Style14"/>
    <w:rPr/>
  </w:style>
  <w:style w:type="character" w:styleId="Style15">
    <w:name w:val="Заглавие Знак"/>
    <w:qFormat/>
    <w:rPr>
      <w:rFonts w:ascii="Cambria" w:hAnsi="Cambria" w:eastAsia="Times New Roman" w:cs="Cambria"/>
      <w:b/>
      <w:bCs/>
      <w:kern w:val="2"/>
      <w:sz w:val="32"/>
      <w:szCs w:val="32"/>
    </w:rPr>
  </w:style>
  <w:style w:type="character" w:styleId="Emphasis">
    <w:name w:val="Emphasis"/>
    <w:qFormat/>
    <w:rPr>
      <w:i/>
      <w:iCs/>
    </w:rPr>
  </w:style>
  <w:style w:type="character" w:styleId="Style16">
    <w:name w:val="Долен колонтитул Знак"/>
    <w:qFormat/>
    <w:rPr>
      <w:rFonts w:ascii="Calibri" w:hAnsi="Calibri" w:eastAsia="Calibri" w:cs="Calibri"/>
      <w:sz w:val="22"/>
      <w:szCs w:val="22"/>
    </w:rPr>
  </w:style>
  <w:style w:type="character" w:styleId="Hyperlink">
    <w:name w:val="Hyperlink"/>
    <w:rPr>
      <w:color w:val="0000FF"/>
      <w:u w:val="single"/>
    </w:rPr>
  </w:style>
  <w:style w:type="paragraph" w:styleId="Heading">
    <w:name w:val="Heading"/>
    <w:basedOn w:val="Normal"/>
    <w:next w:val="Normal"/>
    <w:qFormat/>
    <w:pPr>
      <w:spacing w:lineRule="auto" w:line="240" w:before="240" w:after="60"/>
      <w:jc w:val="center"/>
      <w:outlineLvl w:val="0"/>
    </w:pPr>
    <w:rPr>
      <w:rFonts w:ascii="Cambria" w:hAnsi="Cambria" w:eastAsia="Times New Roman" w:cs="Cambria"/>
      <w:b/>
      <w:bCs/>
      <w:kern w:val="2"/>
      <w:sz w:val="32"/>
      <w:szCs w:val="32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Droid Sans Devanagari"/>
    </w:rPr>
  </w:style>
  <w:style w:type="paragraph" w:styleId="Msolistparagraph">
    <w:name w:val="msolistparagraph"/>
    <w:basedOn w:val="Normal"/>
    <w:qFormat/>
    <w:pPr>
      <w:spacing w:before="0" w:after="200"/>
      <w:ind w:hanging="0" w:start="720" w:end="0"/>
      <w:contextualSpacing/>
    </w:pPr>
    <w:rPr/>
  </w:style>
  <w:style w:type="paragraph" w:styleId="HeaderandFooter">
    <w:name w:val="Header and Footer"/>
    <w:basedOn w:val="Normal"/>
    <w:qFormat/>
    <w:pPr>
      <w:suppressLineNumbers/>
      <w:tabs>
        <w:tab w:val="clear" w:pos="708"/>
        <w:tab w:val="center" w:pos="4986" w:leader="none"/>
        <w:tab w:val="right" w:pos="9972" w:leader="none"/>
      </w:tabs>
    </w:pPr>
    <w:rPr/>
  </w:style>
  <w:style w:type="paragraph" w:styleId="Header">
    <w:name w:val="Head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Style17">
    <w:name w:val="Без разредка"/>
    <w:qFormat/>
    <w:pPr>
      <w:widowControl/>
      <w:bidi w:val="0"/>
    </w:pPr>
    <w:rPr>
      <w:rFonts w:ascii="Times New Roman" w:hAnsi="Times New Roman" w:eastAsia="Times New Roman" w:cs="Times New Roman"/>
      <w:color w:val="auto"/>
      <w:sz w:val="24"/>
      <w:szCs w:val="24"/>
      <w:lang w:val="bg-BG" w:bidi="ar-SA" w:eastAsia="zh-CN"/>
    </w:rPr>
  </w:style>
  <w:style w:type="paragraph" w:styleId="Footer">
    <w:name w:val="Foot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rameContents">
    <w:name w:val="Frame Contents"/>
    <w:basedOn w:val="Normal"/>
    <w:qFormat/>
    <w:pPr/>
    <w:rPr/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Normal_x0000_</Template>
  <TotalTime>2269</TotalTime>
  <Application>LibreOffice/7.6.2.1$Linux_X86_64 LibreOffice_project/60$Build-1</Application>
  <AppVersion>15.0000</AppVersion>
  <Pages>11</Pages>
  <Words>2297</Words>
  <Characters>14740</Characters>
  <CharactersWithSpaces>17220</CharactersWithSpaces>
  <Paragraphs>54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2015-12-13T22:40:00Z</dcterms:created>
  <dc:creator>Sziget</dc:creator>
  <dc:description/>
  <cp:keywords/>
  <dc:language>en-US</dc:language>
  <cp:lastModifiedBy>Потребител на Windows</cp:lastModifiedBy>
  <cp:lastPrinted>2022-11-19T15:10:00Z</cp:lastPrinted>
  <dcterms:modified xsi:type="dcterms:W3CDTF">2022-12-13T09:30:00Z</dcterms:modified>
  <cp:revision>36</cp:revision>
  <dc:subject/>
  <dc:title>1</dc:title>
</cp:coreProperties>
</file>